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AD5D" w14:textId="77777777" w:rsidR="00AA5B0F" w:rsidRDefault="00F13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KRITERIJI I MJERILA ZA BROJČANO VREDNOVANJE OSTVARENOSTI ODGOJNO OBRAZOVNIH ISHODA</w:t>
      </w:r>
    </w:p>
    <w:p w14:paraId="15F4AD5E" w14:textId="77777777" w:rsidR="00AA5B0F" w:rsidRDefault="00F13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Fizika, 8.razred</w:t>
      </w:r>
    </w:p>
    <w:p w14:paraId="15F4AD5F" w14:textId="77777777" w:rsidR="00AA5B0F" w:rsidRDefault="00AA5B0F">
      <w:pPr>
        <w:rPr>
          <w:b/>
          <w:sz w:val="28"/>
          <w:szCs w:val="28"/>
        </w:rPr>
      </w:pPr>
    </w:p>
    <w:p w14:paraId="15F4AD60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Element:</w:t>
      </w:r>
    </w:p>
    <w:p w14:paraId="15F4AD61" w14:textId="77777777" w:rsidR="00AA5B0F" w:rsidRDefault="00F13A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ZNANJE I VJEŠTINE:</w:t>
      </w:r>
    </w:p>
    <w:p w14:paraId="15F4AD62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Obuhvaća ostvarenost odgojno obrazovnih ishoda FIZ OŠ B.8.1., FIZ OŠ D.8.2., FIZ OŠ D.8.3., FIZ OŠ A.8.4., FIZ OŠ </w:t>
      </w:r>
      <w:r>
        <w:rPr>
          <w:sz w:val="24"/>
          <w:szCs w:val="24"/>
        </w:rPr>
        <w:t>C.8.5., FIZ OŠ C.8.6., FIZ OŠ C.8.7., FIZ OŠ D.8.7., FIZ OŠ C.8.8., FIZ OŠ D.8.8., FIZ OŠ C.8.9., FIZ OŠ D.8.9.</w:t>
      </w:r>
    </w:p>
    <w:p w14:paraId="15F4AD63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Razina ostvarenosti po cjelinama. (razina dobar, u skladu s pravilnikom o vrednovanju učenika i kurikulumom nastavnog predmeta Fizika propisanih</w:t>
      </w:r>
      <w:r>
        <w:rPr>
          <w:sz w:val="24"/>
          <w:szCs w:val="24"/>
        </w:rPr>
        <w:t xml:space="preserve"> od strane MZOS.</w:t>
      </w:r>
    </w:p>
    <w:p w14:paraId="15F4AD64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U svim cjelinama za  ocjenu dovoljan je potrebno znanje na razini poznavanja osnovnih pojmova, za dobar zahtjeva se reproduktivno znanje, za vrlo dobar zahtjeva se viša kognitivna razina (analiza pojava i operativnost znanja), za odličan o</w:t>
      </w:r>
      <w:r>
        <w:rPr>
          <w:sz w:val="24"/>
          <w:szCs w:val="24"/>
        </w:rPr>
        <w:t>čekuje se kreativno znanje (analiza novih situacija uz pomoć gradiva fizike).</w:t>
      </w:r>
    </w:p>
    <w:p w14:paraId="15F4AD65" w14:textId="77777777" w:rsidR="00AA5B0F" w:rsidRDefault="00AA5B0F">
      <w:pPr>
        <w:rPr>
          <w:sz w:val="24"/>
          <w:szCs w:val="24"/>
        </w:rPr>
      </w:pPr>
    </w:p>
    <w:p w14:paraId="15F4AD66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ELEKTRIČNA STRUJA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5B0F" w14:paraId="15F4AD68" w14:textId="77777777">
        <w:trPr>
          <w:trHeight w:val="575"/>
        </w:trPr>
        <w:tc>
          <w:tcPr>
            <w:tcW w:w="9067" w:type="dxa"/>
          </w:tcPr>
          <w:p w14:paraId="15F4AD67" w14:textId="77777777" w:rsidR="00AA5B0F" w:rsidRDefault="00F13A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82" w14:textId="77777777">
        <w:tc>
          <w:tcPr>
            <w:tcW w:w="9067" w:type="dxa"/>
          </w:tcPr>
          <w:p w14:paraId="15F4AD69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elektriziranje tijela trljanjem na temelju građe atoma.</w:t>
            </w:r>
          </w:p>
          <w:p w14:paraId="15F4AD6A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6B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Povezuje električnu struju s gibanjem naboja.</w:t>
            </w:r>
          </w:p>
          <w:p w14:paraId="15F4AD6C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6D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Povezuje električni napon s energijom</w:t>
            </w:r>
            <w:r>
              <w:rPr>
                <w:rFonts w:eastAsia="Calibri"/>
                <w:sz w:val="24"/>
                <w:szCs w:val="24"/>
              </w:rPr>
              <w:t xml:space="preserve"> jediničnog naboja u izvoru.</w:t>
            </w:r>
          </w:p>
          <w:p w14:paraId="15F4AD6E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6F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Razlikuje nositelje električne struje u metalima, tekućinama i plinovima.</w:t>
            </w:r>
          </w:p>
          <w:p w14:paraId="15F4AD70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1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magnetski učinak električne struje.</w:t>
            </w:r>
          </w:p>
          <w:p w14:paraId="15F4AD72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3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načelo rada elektromagneta.</w:t>
            </w:r>
          </w:p>
          <w:p w14:paraId="15F4AD74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5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načelo rada kompasa.</w:t>
            </w:r>
          </w:p>
          <w:p w14:paraId="15F4AD76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7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Analizira rad i snagu </w:t>
            </w:r>
            <w:r>
              <w:rPr>
                <w:rFonts w:eastAsia="Calibri"/>
                <w:sz w:val="24"/>
                <w:szCs w:val="24"/>
              </w:rPr>
              <w:t>električne struje na primjerima.</w:t>
            </w:r>
          </w:p>
          <w:p w14:paraId="15F4AD78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9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Shematski prikazuje električni strujni krug sa serijskim odnosno paralelnim spojem trošila te pripadnim mjernim instrumentima.</w:t>
            </w:r>
          </w:p>
          <w:p w14:paraId="15F4AD7A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B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Razmatra mogućnosti uštede električne energije u kućanstvu.</w:t>
            </w:r>
          </w:p>
          <w:p w14:paraId="15F4AD7C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D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Analizira električni otpor trošil</w:t>
            </w:r>
            <w:r>
              <w:rPr>
                <w:rFonts w:eastAsia="Calibri"/>
                <w:sz w:val="24"/>
                <w:szCs w:val="24"/>
              </w:rPr>
              <w:t>a.</w:t>
            </w:r>
          </w:p>
          <w:p w14:paraId="15F4AD7E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7F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Analizira grafički prikaz ovisnosti električne struje o električnom naponu za otpornik.</w:t>
            </w:r>
          </w:p>
          <w:p w14:paraId="15F4AD80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81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Ohmov zakon.</w:t>
            </w:r>
          </w:p>
        </w:tc>
      </w:tr>
    </w:tbl>
    <w:p w14:paraId="15F4AD83" w14:textId="77777777" w:rsidR="00AA5B0F" w:rsidRDefault="00AA5B0F">
      <w:pPr>
        <w:rPr>
          <w:sz w:val="24"/>
          <w:szCs w:val="24"/>
        </w:rPr>
      </w:pPr>
    </w:p>
    <w:p w14:paraId="15F4AD84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GIBANJA I SILE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5B0F" w14:paraId="15F4AD86" w14:textId="77777777">
        <w:tc>
          <w:tcPr>
            <w:tcW w:w="9067" w:type="dxa"/>
          </w:tcPr>
          <w:p w14:paraId="15F4AD85" w14:textId="77777777" w:rsidR="00AA5B0F" w:rsidRDefault="00F13A1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98" w14:textId="77777777">
        <w:trPr>
          <w:trHeight w:val="378"/>
        </w:trPr>
        <w:tc>
          <w:tcPr>
            <w:tcW w:w="9067" w:type="dxa"/>
          </w:tcPr>
          <w:p w14:paraId="15F4AD87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 točkastih dijagrama gibanja izrađuje tablične prikaze.</w:t>
            </w:r>
          </w:p>
          <w:p w14:paraId="15F4AD88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89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Dopunjava i preračunava tablice gibanja.</w:t>
            </w:r>
          </w:p>
          <w:p w14:paraId="15F4AD8A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8B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Grafički prikazuje ovisnost brzine o vremenu.</w:t>
            </w:r>
          </w:p>
          <w:p w14:paraId="15F4AD8C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8D" w14:textId="77777777" w:rsidR="00AA5B0F" w:rsidRDefault="00F13A1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Razlikuje stalnu brzinu jednolikoga gibanja i srednju brzinu nejednolikoga gibanja.</w:t>
            </w:r>
          </w:p>
          <w:p w14:paraId="15F4AD8E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Analizira akceleraciju tijela.</w:t>
            </w:r>
          </w:p>
          <w:p w14:paraId="15F4AD8F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90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jednoliko ubrzano gibanje.</w:t>
            </w:r>
          </w:p>
          <w:p w14:paraId="15F4AD91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92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Grafički prikazuje ovisnost brzine o vremenu.</w:t>
            </w:r>
          </w:p>
          <w:p w14:paraId="15F4AD93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94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Povezuje tromost tijela i masu.</w:t>
            </w:r>
          </w:p>
          <w:p w14:paraId="15F4AD95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96" w14:textId="77777777" w:rsidR="00AA5B0F" w:rsidRDefault="00F13A1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slobodni pad.</w:t>
            </w:r>
          </w:p>
          <w:p w14:paraId="15F4AD97" w14:textId="77777777" w:rsidR="00AA5B0F" w:rsidRDefault="00AA5B0F">
            <w:pPr>
              <w:rPr>
                <w:sz w:val="24"/>
                <w:szCs w:val="24"/>
              </w:rPr>
            </w:pPr>
          </w:p>
        </w:tc>
      </w:tr>
    </w:tbl>
    <w:p w14:paraId="15F4AD99" w14:textId="77777777" w:rsidR="00AA5B0F" w:rsidRDefault="00AA5B0F">
      <w:pPr>
        <w:rPr>
          <w:sz w:val="24"/>
          <w:szCs w:val="24"/>
        </w:rPr>
      </w:pPr>
    </w:p>
    <w:p w14:paraId="15F4AD9A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VALOVI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5B0F" w14:paraId="15F4AD9C" w14:textId="77777777">
        <w:tc>
          <w:tcPr>
            <w:tcW w:w="9067" w:type="dxa"/>
          </w:tcPr>
          <w:p w14:paraId="15F4AD9B" w14:textId="77777777" w:rsidR="00AA5B0F" w:rsidRDefault="00F13A1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A0" w14:textId="77777777">
        <w:tc>
          <w:tcPr>
            <w:tcW w:w="9067" w:type="dxa"/>
          </w:tcPr>
          <w:p w14:paraId="15F4AD9D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period, brzinu i frekvenciju vala.</w:t>
            </w:r>
          </w:p>
          <w:p w14:paraId="15F4AD9E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9F" w14:textId="77777777" w:rsidR="00AA5B0F" w:rsidRDefault="00F13A1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nastajanje zvuka u različitim sredstvima.</w:t>
            </w:r>
          </w:p>
        </w:tc>
      </w:tr>
    </w:tbl>
    <w:p w14:paraId="15F4ADA1" w14:textId="77777777" w:rsidR="00AA5B0F" w:rsidRDefault="00AA5B0F">
      <w:pPr>
        <w:rPr>
          <w:sz w:val="24"/>
          <w:szCs w:val="24"/>
        </w:rPr>
      </w:pPr>
    </w:p>
    <w:p w14:paraId="15F4ADA2" w14:textId="77777777" w:rsidR="00AA5B0F" w:rsidRDefault="00AA5B0F">
      <w:pPr>
        <w:rPr>
          <w:sz w:val="24"/>
          <w:szCs w:val="24"/>
        </w:rPr>
      </w:pPr>
    </w:p>
    <w:p w14:paraId="15F4ADA3" w14:textId="77777777" w:rsidR="00AA5B0F" w:rsidRDefault="00AA5B0F">
      <w:pPr>
        <w:rPr>
          <w:sz w:val="24"/>
          <w:szCs w:val="24"/>
        </w:rPr>
      </w:pPr>
    </w:p>
    <w:p w14:paraId="15F4ADA4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SVJETLOST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5B0F" w14:paraId="15F4ADA6" w14:textId="77777777">
        <w:tc>
          <w:tcPr>
            <w:tcW w:w="9067" w:type="dxa"/>
          </w:tcPr>
          <w:p w14:paraId="15F4ADA5" w14:textId="77777777" w:rsidR="00AA5B0F" w:rsidRDefault="00F13A1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B7" w14:textId="77777777">
        <w:tc>
          <w:tcPr>
            <w:tcW w:w="9067" w:type="dxa"/>
          </w:tcPr>
          <w:p w14:paraId="15F4ADA7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odbijanje svjetlosti od glatkih i hrapavih ploha.</w:t>
            </w:r>
          </w:p>
          <w:p w14:paraId="15F4ADA8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A9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Konstruira sliku predmeta nastalu odbijanjem svjetlosti od ravnog zrcala.</w:t>
            </w:r>
          </w:p>
          <w:p w14:paraId="15F4ADAA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AB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sliku predmeta nastalu odbijanjem svjetlosti od sfernog zrcala.</w:t>
            </w:r>
          </w:p>
          <w:p w14:paraId="15F4ADAC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AD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primjene ravnog zrcala.</w:t>
            </w:r>
          </w:p>
          <w:p w14:paraId="15F4ADAE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AF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lom svjetlosti.</w:t>
            </w:r>
          </w:p>
          <w:p w14:paraId="15F4ADB0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B1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razlaganje bijele svjetlosti na boje.</w:t>
            </w:r>
          </w:p>
          <w:p w14:paraId="15F4ADB2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B3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Crta karakteristične zrake svjetlosti pri lomu svjetlosti u leći.</w:t>
            </w:r>
          </w:p>
          <w:p w14:paraId="15F4ADB4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B5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Opisuje sliku predmeta nastalu lomom svjetlosti u leći.</w:t>
            </w:r>
          </w:p>
          <w:p w14:paraId="15F4ADB6" w14:textId="77777777" w:rsidR="00AA5B0F" w:rsidRDefault="00AA5B0F">
            <w:pPr>
              <w:rPr>
                <w:sz w:val="24"/>
                <w:szCs w:val="24"/>
              </w:rPr>
            </w:pPr>
          </w:p>
        </w:tc>
      </w:tr>
    </w:tbl>
    <w:p w14:paraId="15F4ADB8" w14:textId="77777777" w:rsidR="00AA5B0F" w:rsidRDefault="00AA5B0F">
      <w:pPr>
        <w:rPr>
          <w:sz w:val="24"/>
          <w:szCs w:val="24"/>
        </w:rPr>
      </w:pPr>
    </w:p>
    <w:p w14:paraId="15F4ADB9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Postupci pri vrednovanju:</w:t>
      </w:r>
    </w:p>
    <w:p w14:paraId="15F4ADBA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 Ostvaruje se formativno ili sumativno, usmeno ili pisano, što uključuje razgovor sa učenicima tokom obr</w:t>
      </w:r>
      <w:r>
        <w:rPr>
          <w:sz w:val="24"/>
          <w:szCs w:val="24"/>
        </w:rPr>
        <w:t>ade, praćenje doprinosa raspravi (primjena, povezivanje, zaključivanje i napredak u ostvarenosti odgojno obrazovnihishoda) samovrednovanje, usmeno provjeravanje i pisane provjere na kraju nastavne cjeline.</w:t>
      </w:r>
    </w:p>
    <w:p w14:paraId="15F4ADBB" w14:textId="77777777" w:rsidR="00AA5B0F" w:rsidRDefault="00AA5B0F">
      <w:pPr>
        <w:rPr>
          <w:sz w:val="24"/>
          <w:szCs w:val="24"/>
        </w:rPr>
      </w:pPr>
    </w:p>
    <w:p w14:paraId="15F4ADBC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Element:</w:t>
      </w:r>
    </w:p>
    <w:p w14:paraId="15F4ADBD" w14:textId="77777777" w:rsidR="00AA5B0F" w:rsidRDefault="00F13A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KONCEPTUALNI I NUMERIČKI ZADACI</w:t>
      </w:r>
    </w:p>
    <w:p w14:paraId="15F4ADBE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 Kod num</w:t>
      </w:r>
      <w:r>
        <w:rPr>
          <w:sz w:val="24"/>
          <w:szCs w:val="24"/>
        </w:rPr>
        <w:t>eričkih zadataka obuhvaća ostvarenost ishodaFIZ OŠ A.8.11., FIZ OŠ B.8.11., FIZ OŠ C.8.11., FIZ OŠ D.8.11. Rješava fizičke probleme. Uključuje i konceptualne zadatke kojima se može provjeriti ostvarenost ishoda koji se vrednuju u prethodnom elementu.</w:t>
      </w:r>
    </w:p>
    <w:p w14:paraId="15F4ADBF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Razin</w:t>
      </w:r>
      <w:r>
        <w:rPr>
          <w:sz w:val="24"/>
          <w:szCs w:val="24"/>
        </w:rPr>
        <w:t>a ostvarenosti: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A5B0F" w14:paraId="15F4ADC1" w14:textId="77777777">
        <w:tc>
          <w:tcPr>
            <w:tcW w:w="9067" w:type="dxa"/>
          </w:tcPr>
          <w:p w14:paraId="15F4ADC0" w14:textId="77777777" w:rsidR="00AA5B0F" w:rsidRDefault="00F13A1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C9" w14:textId="77777777">
        <w:tc>
          <w:tcPr>
            <w:tcW w:w="9067" w:type="dxa"/>
          </w:tcPr>
          <w:p w14:paraId="15F4ADC2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Pretvara mjerne jedinice.</w:t>
            </w:r>
          </w:p>
          <w:p w14:paraId="15F4ADC3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C4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Prepoznaje matematički model (vezu među veličinama iskazuje formulom).</w:t>
            </w:r>
          </w:p>
          <w:p w14:paraId="15F4ADC5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C6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Računa i iskazuje traženu veličinu.</w:t>
            </w:r>
          </w:p>
          <w:p w14:paraId="15F4ADC7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C8" w14:textId="77777777" w:rsidR="00AA5B0F" w:rsidRDefault="00F13A1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Kvalitativno zaključuje povezujući koncepte vezane uz sadržaje.</w:t>
            </w:r>
          </w:p>
        </w:tc>
      </w:tr>
    </w:tbl>
    <w:p w14:paraId="15F4ADCA" w14:textId="77777777" w:rsidR="00AA5B0F" w:rsidRDefault="00AA5B0F">
      <w:pPr>
        <w:rPr>
          <w:sz w:val="24"/>
          <w:szCs w:val="24"/>
        </w:rPr>
      </w:pPr>
    </w:p>
    <w:p w14:paraId="15F4ADCB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Postupci </w:t>
      </w:r>
      <w:r>
        <w:rPr>
          <w:sz w:val="24"/>
          <w:szCs w:val="24"/>
        </w:rPr>
        <w:t>vrednovanja:</w:t>
      </w:r>
    </w:p>
    <w:p w14:paraId="15F4ADCE" w14:textId="387407A3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Ostvaruje se formativno ili sumativno, pisano ili usmeno, kontinuiranim praćenjem i provjerom na kraju cjeline.</w:t>
      </w:r>
      <w:r>
        <w:rPr>
          <w:sz w:val="24"/>
          <w:szCs w:val="24"/>
        </w:rPr>
        <w:t>Element:</w:t>
      </w:r>
    </w:p>
    <w:p w14:paraId="15F4ADCF" w14:textId="77777777" w:rsidR="00AA5B0F" w:rsidRDefault="00F13A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ISTRAŽIVANJE FIZIČKIH POJAVA:</w:t>
      </w:r>
    </w:p>
    <w:p w14:paraId="15F4ADD0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Obuhvaća ostvarenost ishoda FIZ OŠ A.8.10., FIZ OŠ B.8.10., FIZ OŠ C.8.10., FIZ OŠ </w:t>
      </w:r>
      <w:r>
        <w:rPr>
          <w:sz w:val="24"/>
          <w:szCs w:val="24"/>
        </w:rPr>
        <w:t>D.8.10. Istražuje fizičke pojave.</w:t>
      </w:r>
    </w:p>
    <w:p w14:paraId="15F4ADD1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Razina ostvarenosti:</w:t>
      </w:r>
    </w:p>
    <w:tbl>
      <w:tblPr>
        <w:tblStyle w:val="Reetkatablice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AA5B0F" w14:paraId="15F4ADD3" w14:textId="77777777">
        <w:tc>
          <w:tcPr>
            <w:tcW w:w="8926" w:type="dxa"/>
          </w:tcPr>
          <w:p w14:paraId="15F4ADD2" w14:textId="77777777" w:rsidR="00AA5B0F" w:rsidRDefault="00F13A1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dobar</w:t>
            </w:r>
          </w:p>
        </w:tc>
      </w:tr>
      <w:tr w:rsidR="00AA5B0F" w14:paraId="15F4ADEB" w14:textId="77777777">
        <w:tc>
          <w:tcPr>
            <w:tcW w:w="8926" w:type="dxa"/>
          </w:tcPr>
          <w:p w14:paraId="15F4ADD4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svrhu eksperimenta.</w:t>
            </w:r>
          </w:p>
          <w:p w14:paraId="15F4ADD5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D6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varijable.</w:t>
            </w:r>
          </w:p>
          <w:p w14:paraId="15F4ADD7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D8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Prepoznaje fizičke veličine koje je potrebno održavati stalnima, a koje mijenjati.</w:t>
            </w:r>
          </w:p>
          <w:p w14:paraId="15F4ADD9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DA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Objašnjava svoje pretpostavke.</w:t>
            </w:r>
          </w:p>
          <w:p w14:paraId="15F4ADDB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DC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Izvodi pokus prema </w:t>
            </w:r>
            <w:r>
              <w:rPr>
                <w:rFonts w:eastAsia="Calibri"/>
                <w:sz w:val="24"/>
                <w:szCs w:val="24"/>
              </w:rPr>
              <w:t>uputama.</w:t>
            </w:r>
          </w:p>
          <w:p w14:paraId="15F4ADDD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DE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Mjerne podatke prikazuje tablično.</w:t>
            </w:r>
          </w:p>
          <w:p w14:paraId="15F4ADDF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0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Računa srednju vrijednost fizičke veličine.</w:t>
            </w:r>
          </w:p>
          <w:p w14:paraId="15F4ADE1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2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Pravilno zaokružuje izmjerene vrijednosti.</w:t>
            </w:r>
          </w:p>
          <w:p w14:paraId="15F4ADE3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4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Prepoznaje grube pogreške mjerenja.</w:t>
            </w:r>
          </w:p>
          <w:p w14:paraId="15F4ADE5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6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Interpretira rezultate mjerenja.</w:t>
            </w:r>
          </w:p>
          <w:p w14:paraId="15F4ADE7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8" w14:textId="77777777" w:rsidR="00AA5B0F" w:rsidRDefault="00F13A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Prepoznaje funkcionalnu ovisnost varijabla.</w:t>
            </w:r>
          </w:p>
          <w:p w14:paraId="15F4ADE9" w14:textId="77777777" w:rsidR="00AA5B0F" w:rsidRDefault="00AA5B0F">
            <w:pPr>
              <w:spacing w:after="0" w:line="240" w:lineRule="auto"/>
              <w:rPr>
                <w:sz w:val="24"/>
                <w:szCs w:val="24"/>
              </w:rPr>
            </w:pPr>
          </w:p>
          <w:p w14:paraId="15F4ADEA" w14:textId="77777777" w:rsidR="00AA5B0F" w:rsidRDefault="00F13A1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Opisu</w:t>
            </w:r>
            <w:r>
              <w:rPr>
                <w:rFonts w:eastAsia="Calibri"/>
                <w:sz w:val="24"/>
                <w:szCs w:val="24"/>
              </w:rPr>
              <w:t>je pojavu u prirodi prikazanu pokusom ili računalnom simulacijom.</w:t>
            </w:r>
          </w:p>
        </w:tc>
      </w:tr>
    </w:tbl>
    <w:p w14:paraId="15F4ADEC" w14:textId="77777777" w:rsidR="00AA5B0F" w:rsidRDefault="00AA5B0F">
      <w:pPr>
        <w:rPr>
          <w:sz w:val="24"/>
          <w:szCs w:val="24"/>
        </w:rPr>
      </w:pPr>
    </w:p>
    <w:p w14:paraId="15F4ADED" w14:textId="77777777" w:rsidR="00AA5B0F" w:rsidRDefault="00AA5B0F">
      <w:pPr>
        <w:rPr>
          <w:sz w:val="24"/>
          <w:szCs w:val="24"/>
        </w:rPr>
      </w:pPr>
    </w:p>
    <w:p w14:paraId="15F4ADEE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Postupci vrednovanja:</w:t>
      </w:r>
    </w:p>
    <w:p w14:paraId="15F4ADEF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>- kontinuirano praćenje učenikove aktivnosti u istraživački usmjerenom učenju i poučavanju, a uključuje kontinuirano praćenje i pregledavanje učenikovih zapisa ekspe</w:t>
      </w:r>
      <w:r>
        <w:rPr>
          <w:sz w:val="24"/>
          <w:szCs w:val="24"/>
        </w:rPr>
        <w:t xml:space="preserve">rimentalnog rada (npr. bilježnica, portfolija) te praćenje i bilježenje učenikovih postignuća. </w:t>
      </w:r>
    </w:p>
    <w:p w14:paraId="15F4ADF0" w14:textId="77777777" w:rsidR="00AA5B0F" w:rsidRDefault="00AA5B0F">
      <w:pPr>
        <w:rPr>
          <w:sz w:val="24"/>
          <w:szCs w:val="24"/>
        </w:rPr>
      </w:pPr>
    </w:p>
    <w:p w14:paraId="15F4ADF3" w14:textId="77777777" w:rsidR="00AA5B0F" w:rsidRDefault="00F13A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Napomena:</w:t>
      </w:r>
    </w:p>
    <w:p w14:paraId="15F4ADF4" w14:textId="77777777" w:rsidR="00AA5B0F" w:rsidRDefault="00F13A12">
      <w:pPr>
        <w:rPr>
          <w:sz w:val="24"/>
          <w:szCs w:val="24"/>
        </w:rPr>
      </w:pPr>
      <w:r>
        <w:rPr>
          <w:sz w:val="24"/>
          <w:szCs w:val="24"/>
        </w:rPr>
        <w:t xml:space="preserve">U skladu sa propisanim predmetnim kurikulumom svi elementi doprinose zaključnoj ocjeni ravnopravno, a zaključna ocjena ne mora biti </w:t>
      </w:r>
      <w:r>
        <w:rPr>
          <w:sz w:val="24"/>
          <w:szCs w:val="24"/>
        </w:rPr>
        <w:t>aritmetička sredina svih ocjena iz fizike tokom godine.</w:t>
      </w:r>
    </w:p>
    <w:sectPr w:rsidR="00AA5B0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0F"/>
    <w:rsid w:val="00AA5B0F"/>
    <w:rsid w:val="00F1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D5D"/>
  <w15:docId w15:val="{C693D258-22A5-4F25-8FC7-D671642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3F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ANA MILAKOVIĆ</cp:lastModifiedBy>
  <cp:revision>35</cp:revision>
  <dcterms:created xsi:type="dcterms:W3CDTF">2019-06-01T08:22:00Z</dcterms:created>
  <dcterms:modified xsi:type="dcterms:W3CDTF">2024-12-09T09:09:00Z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